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042</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人民政府批准，惠州市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自然资源局决定以网上挂牌方式出让下列国有建设用地使用权，本次国有建设用地使用权网上挂牌出让交易具体事务委托惠州市公共资源交易中心办理。现将有关事项公告如下：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上述地块挂牌出让</w:t>
      </w:r>
      <w:r>
        <w:rPr>
          <w:rFonts w:hint="eastAsia" w:ascii="仿宋_GB2312" w:hAnsi="仿宋_GB2312" w:eastAsia="仿宋_GB2312" w:cs="仿宋_GB2312"/>
          <w:sz w:val="32"/>
          <w:szCs w:val="32"/>
        </w:rPr>
        <w:t>起始价为人民币</w:t>
      </w:r>
      <w:r>
        <w:rPr>
          <w:rFonts w:hint="eastAsia" w:ascii="仿宋_GB2312" w:hAnsi="仿宋_GB2312" w:eastAsia="仿宋_GB2312" w:cs="仿宋_GB2312"/>
          <w:color w:val="auto"/>
          <w:kern w:val="0"/>
          <w:sz w:val="32"/>
          <w:szCs w:val="32"/>
          <w:lang w:val="en-US" w:eastAsia="zh-CN"/>
        </w:rPr>
        <w:t>380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hAnsi="仿宋_GB2312" w:cs="仿宋_GB2312"/>
          <w:szCs w:val="32"/>
          <w:lang w:eastAsia="zh-CN"/>
        </w:rPr>
        <w:t>，</w:t>
      </w:r>
      <w:r>
        <w:rPr>
          <w:rFonts w:hint="eastAsia" w:ascii="仿宋_GB2312" w:hAnsi="宋体" w:eastAsia="仿宋_GB2312" w:cs="宋体"/>
          <w:color w:val="auto"/>
          <w:kern w:val="0"/>
          <w:sz w:val="32"/>
          <w:szCs w:val="32"/>
        </w:rPr>
        <w:t>即新公司的股东必须100%是竞买申请企业作为法人的股东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lang w:val="en-US" w:eastAsia="zh-CN"/>
        </w:rPr>
        <w:t>五</w:t>
      </w:r>
      <w:r>
        <w:rPr>
          <w:rFonts w:hint="eastAsia" w:hAnsi="仿宋_GB2312" w:cs="仿宋_GB2312"/>
          <w:szCs w:val="32"/>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（一）缴交竞买保证金</w:t>
      </w:r>
      <w:r>
        <w:rPr>
          <w:rFonts w:hint="eastAsia" w:hAnsi="仿宋_GB2312" w:cs="仿宋_GB2312"/>
          <w:szCs w:val="32"/>
          <w:lang w:val="en-US" w:eastAsia="zh-CN"/>
        </w:rPr>
        <w:t>114</w:t>
      </w:r>
      <w:r>
        <w:rPr>
          <w:rFonts w:hint="eastAsia" w:hAnsi="仿宋_GB2312" w:cs="仿宋_GB2312"/>
          <w:szCs w:val="32"/>
        </w:rPr>
        <w:t>万元人民币。</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eastAsia="仿宋_GB2312" w:cs="仿宋_GB2312"/>
          <w:szCs w:val="32"/>
          <w:lang w:eastAsia="zh-CN"/>
        </w:rPr>
      </w:pPr>
      <w:r>
        <w:rPr>
          <w:rFonts w:hint="eastAsia" w:hAnsi="仿宋_GB2312" w:cs="仿宋_GB2312"/>
          <w:szCs w:val="32"/>
        </w:rPr>
        <w:t>（</w:t>
      </w:r>
      <w:r>
        <w:rPr>
          <w:rFonts w:hint="eastAsia" w:hAnsi="仿宋_GB2312" w:cs="仿宋_GB2312"/>
          <w:szCs w:val="32"/>
          <w:lang w:val="en-US" w:eastAsia="zh-CN"/>
        </w:rPr>
        <w:t>二</w:t>
      </w:r>
      <w:r>
        <w:rPr>
          <w:rFonts w:hint="eastAsia" w:hAnsi="仿宋_GB2312" w:cs="仿宋_GB2312"/>
          <w:szCs w:val="32"/>
        </w:rPr>
        <w:t>）</w:t>
      </w:r>
      <w:r>
        <w:rPr>
          <w:rFonts w:hint="eastAsia" w:ascii="仿宋_GB2312" w:hAnsi="仿宋_GB2312" w:eastAsia="仿宋_GB2312" w:cs="仿宋_GB2312"/>
          <w:sz w:val="32"/>
          <w:szCs w:val="32"/>
        </w:rPr>
        <w:t>竞买人须</w:t>
      </w:r>
      <w:r>
        <w:rPr>
          <w:rFonts w:hint="eastAsia" w:hAnsi="仿宋_GB2312" w:cs="仿宋_GB2312"/>
          <w:sz w:val="32"/>
          <w:szCs w:val="32"/>
          <w:lang w:val="en-US" w:eastAsia="zh-CN"/>
        </w:rPr>
        <w:t>提交</w:t>
      </w:r>
      <w:r>
        <w:rPr>
          <w:rFonts w:hint="eastAsia" w:ascii="仿宋_GB2312" w:hAnsi="仿宋_GB2312" w:eastAsia="仿宋_GB2312" w:cs="仿宋_GB2312"/>
          <w:sz w:val="32"/>
          <w:szCs w:val="32"/>
        </w:rPr>
        <w:t>惠城区发改局出具的与该宗地块产业类型一致的优先发展产业项目文件</w:t>
      </w:r>
      <w:r>
        <w:rPr>
          <w:rFonts w:hint="eastAsia" w:hAnsi="仿宋_GB2312" w:cs="仿宋_GB2312"/>
          <w:sz w:val="32"/>
          <w:szCs w:val="32"/>
          <w:lang w:eastAsia="zh-CN"/>
        </w:rPr>
        <w:t>。</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三</w:t>
      </w:r>
      <w:r>
        <w:rPr>
          <w:rFonts w:hint="eastAsia" w:hAnsi="仿宋_GB2312" w:cs="仿宋_GB2312"/>
          <w:szCs w:val="32"/>
        </w:rPr>
        <w:t>）存在下列违法违规违约行为之一的企业及其控股股东，不得参与竞买上述地块：</w:t>
      </w:r>
    </w:p>
    <w:p>
      <w:pPr>
        <w:pStyle w:val="3"/>
        <w:keepNext w:val="0"/>
        <w:keepLines w:val="0"/>
        <w:pageBreakBefore w:val="0"/>
        <w:widowControl w:val="0"/>
        <w:kinsoku/>
        <w:wordWrap/>
        <w:overflowPunct/>
        <w:topLinePunct w:val="0"/>
        <w:autoSpaceDE/>
        <w:autoSpaceDN/>
        <w:bidi w:val="0"/>
        <w:spacing w:before="0" w:line="560" w:lineRule="exact"/>
        <w:ind w:left="0" w:leftChars="0" w:firstLine="640" w:firstLineChars="200"/>
        <w:jc w:val="both"/>
        <w:textAlignment w:val="auto"/>
        <w:rPr>
          <w:rFonts w:hint="eastAsia" w:hAnsi="仿宋_GB2312" w:cs="仿宋_GB2312"/>
          <w:szCs w:val="32"/>
          <w:lang w:val="en-US" w:eastAsia="zh-CN"/>
        </w:rPr>
      </w:pPr>
      <w:r>
        <w:rPr>
          <w:rFonts w:hint="eastAsia" w:hAnsi="仿宋_GB2312" w:cs="仿宋_GB2312"/>
          <w:szCs w:val="32"/>
          <w:lang w:val="en-US" w:eastAsia="zh-CN"/>
        </w:rPr>
        <w:t>1、存在伪造公文骗取用地和非法倒卖土地等犯罪行为的；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2、存在非法转让土地使用权等违法行为的；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3、因企业原因造成土地闲置一年以上且至报名日止未处罚完结的；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4、开发建设企业有违背出让合同约定条件开发利用土地情形且至报名日止未处罚完结的；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 5、至报名日止仍拖欠政府地价款的。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、网上挂牌系统确定成交后，竞得人缴纳的竞买保证金按</w:t>
      </w:r>
      <w:r>
        <w:rPr>
          <w:rFonts w:hint="eastAsia" w:ascii="仿宋_GB2312" w:hAnsi="仿宋_GB2312" w:eastAsia="仿宋_GB2312" w:cs="仿宋_GB2312"/>
          <w:sz w:val="32"/>
          <w:szCs w:val="32"/>
          <w:lang w:val="en-US" w:eastAsia="zh-CN"/>
        </w:rPr>
        <w:t>成交价的20%转作</w:t>
      </w:r>
      <w:r>
        <w:rPr>
          <w:rFonts w:hint="eastAsia" w:ascii="仿宋_GB2312" w:hAnsi="仿宋_GB2312" w:eastAsia="仿宋_GB2312" w:cs="仿宋_GB2312"/>
          <w:sz w:val="32"/>
          <w:szCs w:val="32"/>
        </w:rPr>
        <w:t>定金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lang w:eastAsia="zh-CN"/>
        </w:rPr>
        <w:t>竞买保证金</w:t>
      </w:r>
      <w:r>
        <w:rPr>
          <w:rFonts w:hint="eastAsia" w:ascii="仿宋_GB2312" w:hAnsi="仿宋_GB2312" w:eastAsia="仿宋_GB2312" w:cs="仿宋_GB2312"/>
          <w:sz w:val="32"/>
          <w:szCs w:val="32"/>
          <w:lang w:val="en-US" w:eastAsia="zh-CN"/>
        </w:rPr>
        <w:t>不足以缴纳定金，</w:t>
      </w:r>
      <w:r>
        <w:rPr>
          <w:rFonts w:hint="eastAsia" w:ascii="仿宋_GB2312" w:hAnsi="仿宋_GB2312" w:eastAsia="仿宋_GB2312" w:cs="仿宋_GB2312"/>
          <w:sz w:val="32"/>
          <w:szCs w:val="32"/>
        </w:rPr>
        <w:t>不足部分在交易系统确定成交之日起5个工作日内补齐</w:t>
      </w:r>
      <w:r>
        <w:rPr>
          <w:rFonts w:hint="eastAsia" w:ascii="仿宋_GB2312" w:hAnsi="仿宋_GB2312" w:eastAsia="仿宋_GB2312" w:cs="仿宋_GB2312"/>
          <w:sz w:val="32"/>
          <w:szCs w:val="32"/>
          <w:lang w:eastAsia="zh-CN"/>
        </w:rPr>
        <w:t>；如竞买保证金转作定金</w:t>
      </w:r>
      <w:r>
        <w:rPr>
          <w:rFonts w:hint="eastAsia" w:ascii="仿宋_GB2312" w:hAnsi="仿宋_GB2312" w:eastAsia="仿宋_GB2312" w:cs="仿宋_GB2312"/>
          <w:sz w:val="32"/>
          <w:szCs w:val="32"/>
          <w:lang w:val="en-US" w:eastAsia="zh-CN"/>
        </w:rPr>
        <w:t>后有剩余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余额抵作</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成交价</w:t>
      </w:r>
      <w:r>
        <w:rPr>
          <w:rFonts w:hint="eastAsia" w:ascii="仿宋_GB2312" w:hAnsi="仿宋_GB2312" w:eastAsia="仿宋_GB2312" w:cs="仿宋_GB2312"/>
          <w:sz w:val="32"/>
          <w:szCs w:val="32"/>
          <w:lang w:val="en-US" w:eastAsia="zh-CN"/>
        </w:rPr>
        <w:t>的预付</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竞得人签订《出让合同》后，定金可抵作土地成交价款，余额转作成交价款。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宋体" w:eastAsia="仿宋_GB2312" w:cs="宋体"/>
          <w:color w:val="auto"/>
          <w:kern w:val="0"/>
          <w:sz w:val="32"/>
          <w:szCs w:val="32"/>
          <w:lang w:val="en-US" w:eastAsia="zh-CN"/>
        </w:rPr>
        <w:t>4973万元</w:t>
      </w:r>
      <w:r>
        <w:rPr>
          <w:rFonts w:hint="eastAsia" w:ascii="仿宋_GB2312" w:hAnsi="宋体" w:eastAsia="仿宋_GB2312" w:cs="宋体"/>
          <w:color w:val="auto"/>
          <w:kern w:val="0"/>
          <w:sz w:val="32"/>
          <w:szCs w:val="32"/>
        </w:rPr>
        <w:t>（含地价）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（二）竞得人在用地红线内开发建设必须符合城市规划要求，必须按《</w:t>
      </w:r>
      <w:r>
        <w:rPr>
          <w:rFonts w:hint="eastAsia" w:ascii="仿宋_GB2312" w:hAnsi="仿宋_GB2312" w:eastAsia="仿宋_GB2312" w:cs="仿宋_GB2312"/>
          <w:sz w:val="32"/>
          <w:szCs w:val="32"/>
          <w:lang w:val="en-US" w:eastAsia="zh-CN"/>
        </w:rPr>
        <w:t>建设用地规划设计条件</w:t>
      </w:r>
      <w:r>
        <w:rPr>
          <w:rFonts w:hint="eastAsia" w:ascii="仿宋_GB2312" w:hAnsi="仿宋_GB2312" w:eastAsia="仿宋_GB2312" w:cs="仿宋_GB2312"/>
          <w:kern w:val="2"/>
          <w:sz w:val="32"/>
          <w:szCs w:val="32"/>
          <w:lang w:val="en-US" w:eastAsia="zh-CN" w:bidi="ar-SA"/>
        </w:rPr>
        <w:t>》（案卷编号：</w:t>
      </w:r>
      <w:r>
        <w:rPr>
          <w:rFonts w:hint="eastAsia" w:ascii="仿宋_GB2312" w:hAnsi="仿宋_GB2312" w:eastAsia="仿宋_GB2312" w:cs="仿宋_GB2312"/>
          <w:sz w:val="32"/>
          <w:szCs w:val="32"/>
        </w:rPr>
        <w:t>PB202</w:t>
      </w:r>
      <w:r>
        <w:rPr>
          <w:rFonts w:hint="eastAsia" w:ascii="仿宋_GB2312" w:hAnsi="仿宋_GB2312" w:eastAsia="仿宋_GB2312" w:cs="仿宋_GB2312"/>
          <w:sz w:val="32"/>
          <w:szCs w:val="32"/>
          <w:lang w:val="en-US" w:eastAsia="zh-CN"/>
        </w:rPr>
        <w:t>10066</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的</w:t>
      </w:r>
      <w:r>
        <w:rPr>
          <w:rFonts w:hint="eastAsia" w:ascii="仿宋_GB2312" w:hAnsi="仿宋_GB2312" w:eastAsia="仿宋_GB2312" w:cs="仿宋_GB2312"/>
          <w:kern w:val="2"/>
          <w:sz w:val="32"/>
          <w:szCs w:val="32"/>
          <w:lang w:val="en-US" w:eastAsia="zh-CN" w:bidi="ar-SA"/>
        </w:rPr>
        <w:t>规划控制指标要求及有关规定进行规划设计。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（四）招商条件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color w:val="auto"/>
          <w:kern w:val="0"/>
          <w:sz w:val="32"/>
          <w:szCs w:val="32"/>
          <w:lang w:val="en-US" w:eastAsia="zh-CN" w:bidi="ar-SA"/>
        </w:rPr>
        <w:t>投资强度不低于14285元/平方米，土地产出率（营业收入）不低于18571元/平方米/年，税收产出不低于1000元/平方米/年。其中，土地产出率及税收产出，在项目投产后3年内逐年考核，3年内的平均值不得低于上述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向自然资源部门申请，经惠城区人民政府备案同意，并符合惠城区产业发展方向及项目入区审核标准。本宗地交付乙方后,乙方须向惠州市惠城区水口街道办事处提交项目投资计划书和时间安排表，并按月向惠州市惠城区水口街道办事处书面报告项目进展情况，直至项目投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）竞得人在签订《成交确认书》前</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须与</w:t>
      </w:r>
      <w:r>
        <w:rPr>
          <w:rFonts w:hint="eastAsia" w:ascii="仿宋_GB2312" w:hAnsi="宋体" w:eastAsia="仿宋_GB2312" w:cs="宋体"/>
          <w:color w:val="auto"/>
          <w:kern w:val="0"/>
          <w:sz w:val="32"/>
          <w:szCs w:val="32"/>
          <w:lang w:val="en-US" w:eastAsia="zh-CN" w:bidi="ar-SA"/>
        </w:rPr>
        <w:t>惠州市惠城区人民政府水口街道办事处</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》，并由</w:t>
      </w:r>
      <w:r>
        <w:rPr>
          <w:rFonts w:hint="eastAsia" w:ascii="仿宋_GB2312" w:hAnsi="宋体" w:eastAsia="仿宋_GB2312" w:cs="宋体"/>
          <w:color w:val="auto"/>
          <w:kern w:val="0"/>
          <w:sz w:val="32"/>
          <w:szCs w:val="32"/>
          <w:lang w:val="en-US" w:eastAsia="zh-CN" w:bidi="ar-SA"/>
        </w:rPr>
        <w:t>惠州市惠城区人民政府水口街道办事处</w:t>
      </w:r>
      <w:r>
        <w:rPr>
          <w:rFonts w:hint="eastAsia" w:ascii="仿宋_GB2312" w:hAnsi="仿宋_GB2312" w:eastAsia="仿宋_GB2312" w:cs="仿宋_GB2312"/>
          <w:color w:val="auto"/>
          <w:sz w:val="32"/>
          <w:szCs w:val="32"/>
        </w:rPr>
        <w:t>对项目用地实施批后监管</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）竞得人有下列行为之一的，视为违约，取消竞得人资格，</w:t>
      </w:r>
      <w:r>
        <w:rPr>
          <w:rFonts w:hint="eastAsia" w:ascii="仿宋_GB2312" w:hAnsi="仿宋_GB2312" w:eastAsia="仿宋_GB2312" w:cs="仿宋_GB2312"/>
          <w:color w:val="auto"/>
          <w:sz w:val="32"/>
          <w:szCs w:val="32"/>
          <w:lang w:val="en-US" w:eastAsia="zh-CN"/>
        </w:rPr>
        <w:t>定金不予退还</w:t>
      </w:r>
      <w:r>
        <w:rPr>
          <w:rFonts w:hint="eastAsia" w:ascii="仿宋_GB2312" w:hAnsi="仿宋_GB2312" w:eastAsia="仿宋_GB2312" w:cs="仿宋_GB2312"/>
          <w:color w:val="auto"/>
          <w:sz w:val="32"/>
          <w:szCs w:val="32"/>
        </w:rPr>
        <w:t>,并由有关部门依法处理;造成损失的，竞得人还应依法承担赔偿责任：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3、竞得人以其他非法手段竞得的；</w:t>
      </w:r>
    </w:p>
    <w:p>
      <w:pPr>
        <w:keepNext w:val="0"/>
        <w:keepLines w:val="0"/>
        <w:pageBreakBefore w:val="0"/>
        <w:widowControl w:val="0"/>
        <w:tabs>
          <w:tab w:val="right" w:pos="8386"/>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地址：惠州市</w:t>
      </w:r>
      <w:r>
        <w:rPr>
          <w:rFonts w:hint="eastAsia" w:ascii="仿宋_GB2312" w:hAnsi="仿宋_GB2312" w:eastAsia="仿宋_GB2312" w:cs="仿宋_GB2312"/>
          <w:color w:val="auto"/>
          <w:sz w:val="32"/>
          <w:szCs w:val="32"/>
          <w:lang w:val="en-US" w:eastAsia="zh-CN"/>
        </w:rPr>
        <w:t>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陈先生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2117378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w:t>
      </w:r>
      <w:r>
        <w:rPr>
          <w:rFonts w:hint="eastAsia" w:ascii="仿宋_GB2312" w:hAnsi="仿宋_GB2312" w:eastAsia="仿宋_GB2312" w:cs="仿宋_GB2312"/>
          <w:sz w:val="32"/>
          <w:szCs w:val="32"/>
          <w:lang w:val="en-US" w:eastAsia="zh-CN"/>
        </w:rPr>
        <w:t>惠城区三新北路31号市民服务中心3号楼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w:t>
      </w:r>
      <w:r>
        <w:rPr>
          <w:rFonts w:hint="eastAsia" w:ascii="仿宋_GB2312" w:hAnsi="仿宋_GB2312" w:eastAsia="仿宋_GB2312" w:cs="仿宋_GB2312"/>
          <w:sz w:val="32"/>
          <w:szCs w:val="32"/>
          <w:lang w:val="en-US" w:eastAsia="zh-CN"/>
        </w:rPr>
        <w:t>叶小姐</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数字证书办理地址：广东省惠州市</w:t>
      </w:r>
      <w:r>
        <w:rPr>
          <w:rFonts w:hint="eastAsia" w:ascii="仿宋_GB2312" w:hAnsi="仿宋_GB2312" w:eastAsia="仿宋_GB2312" w:cs="仿宋_GB2312"/>
          <w:sz w:val="32"/>
          <w:szCs w:val="32"/>
          <w:lang w:val="en-US" w:eastAsia="zh-CN"/>
        </w:rPr>
        <w:t>惠城区三新北路31号市民服务中心3号楼一楼大厅1号土地与矿业交易窗口</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7121029</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自然资源局</w:t>
      </w: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惠州市公共资源交易中心</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2021年10月22日</w:t>
      </w:r>
    </w:p>
    <w:p>
      <w:pPr>
        <w:spacing w:line="360" w:lineRule="auto"/>
        <w:rPr>
          <w:rFonts w:hint="eastAsia" w:ascii="黑体" w:hAnsi="黑体" w:eastAsia="黑体"/>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p>
      <w:pPr>
        <w:pStyle w:val="2"/>
        <w:rPr>
          <w:rFonts w:hint="eastAsia"/>
        </w:rPr>
      </w:pPr>
    </w:p>
    <w:tbl>
      <w:tblPr>
        <w:tblStyle w:val="8"/>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90"/>
        <w:gridCol w:w="615"/>
        <w:gridCol w:w="570"/>
        <w:gridCol w:w="774"/>
        <w:gridCol w:w="948"/>
        <w:gridCol w:w="720"/>
        <w:gridCol w:w="672"/>
        <w:gridCol w:w="1650"/>
        <w:gridCol w:w="1087"/>
        <w:gridCol w:w="900"/>
        <w:gridCol w:w="97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6" w:hRule="atLeast"/>
          <w:jc w:val="center"/>
        </w:trPr>
        <w:tc>
          <w:tcPr>
            <w:tcW w:w="70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69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61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lang w:val="en-US" w:eastAsia="zh-CN"/>
              </w:rPr>
              <w:t>地块</w:t>
            </w:r>
            <w:r>
              <w:rPr>
                <w:rFonts w:hint="eastAsia" w:ascii="仿宋_GB2312" w:eastAsia="仿宋_GB2312"/>
                <w:b/>
                <w:bCs/>
                <w:szCs w:val="21"/>
              </w:rPr>
              <w:t>编号</w:t>
            </w:r>
          </w:p>
        </w:tc>
        <w:tc>
          <w:tcPr>
            <w:tcW w:w="57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774"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956"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12" w:hRule="atLeast"/>
          <w:jc w:val="center"/>
        </w:trPr>
        <w:tc>
          <w:tcPr>
            <w:tcW w:w="705" w:type="dxa"/>
            <w:vMerge w:val="continue"/>
            <w:vAlign w:val="center"/>
          </w:tcPr>
          <w:p>
            <w:pPr>
              <w:adjustRightInd w:val="0"/>
              <w:snapToGrid w:val="0"/>
              <w:spacing w:line="320" w:lineRule="exact"/>
              <w:jc w:val="center"/>
              <w:rPr>
                <w:rFonts w:hint="eastAsia" w:ascii="仿宋_GB2312" w:eastAsia="仿宋_GB2312"/>
                <w:b/>
                <w:bCs/>
              </w:rPr>
            </w:pPr>
          </w:p>
        </w:tc>
        <w:tc>
          <w:tcPr>
            <w:tcW w:w="690" w:type="dxa"/>
            <w:vMerge w:val="continue"/>
            <w:vAlign w:val="center"/>
          </w:tcPr>
          <w:p>
            <w:pPr>
              <w:adjustRightInd w:val="0"/>
              <w:snapToGrid w:val="0"/>
              <w:spacing w:line="320" w:lineRule="exact"/>
              <w:jc w:val="center"/>
              <w:rPr>
                <w:rFonts w:hint="eastAsia" w:ascii="仿宋_GB2312" w:eastAsia="仿宋_GB2312"/>
                <w:b/>
                <w:bCs/>
              </w:rPr>
            </w:pPr>
          </w:p>
        </w:tc>
        <w:tc>
          <w:tcPr>
            <w:tcW w:w="615" w:type="dxa"/>
            <w:vMerge w:val="continue"/>
            <w:vAlign w:val="center"/>
          </w:tcPr>
          <w:p>
            <w:pPr>
              <w:adjustRightInd w:val="0"/>
              <w:snapToGrid w:val="0"/>
              <w:spacing w:line="320" w:lineRule="exact"/>
              <w:jc w:val="center"/>
              <w:rPr>
                <w:rFonts w:hint="eastAsia" w:ascii="仿宋_GB2312" w:eastAsia="仿宋_GB2312"/>
                <w:b/>
                <w:bCs/>
              </w:rPr>
            </w:pPr>
          </w:p>
        </w:tc>
        <w:tc>
          <w:tcPr>
            <w:tcW w:w="570" w:type="dxa"/>
            <w:vMerge w:val="continue"/>
            <w:vAlign w:val="center"/>
          </w:tcPr>
          <w:p>
            <w:pPr>
              <w:adjustRightInd w:val="0"/>
              <w:snapToGrid w:val="0"/>
              <w:spacing w:line="320" w:lineRule="exact"/>
              <w:jc w:val="center"/>
              <w:rPr>
                <w:rFonts w:hint="eastAsia" w:ascii="仿宋_GB2312" w:eastAsia="仿宋_GB2312"/>
                <w:b/>
                <w:bCs/>
              </w:rPr>
            </w:pPr>
          </w:p>
        </w:tc>
        <w:tc>
          <w:tcPr>
            <w:tcW w:w="774" w:type="dxa"/>
            <w:vMerge w:val="continue"/>
            <w:vAlign w:val="center"/>
          </w:tcPr>
          <w:p>
            <w:pPr>
              <w:adjustRightInd w:val="0"/>
              <w:snapToGrid w:val="0"/>
              <w:spacing w:line="320" w:lineRule="exact"/>
              <w:jc w:val="center"/>
              <w:rPr>
                <w:rFonts w:hint="eastAsia" w:ascii="仿宋_GB2312" w:eastAsia="仿宋_GB2312"/>
                <w:b/>
                <w:bCs/>
              </w:rPr>
            </w:pPr>
          </w:p>
        </w:tc>
        <w:tc>
          <w:tcPr>
            <w:tcW w:w="948"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20" w:type="dxa"/>
            <w:vAlign w:val="center"/>
          </w:tcPr>
          <w:p>
            <w:pPr>
              <w:autoSpaceDE w:val="0"/>
              <w:autoSpaceDN w:val="0"/>
              <w:adjustRightInd w:val="0"/>
              <w:spacing w:line="240" w:lineRule="exact"/>
              <w:jc w:val="center"/>
              <w:rPr>
                <w:rFonts w:hint="eastAsia" w:eastAsia="仿宋_GB2312"/>
                <w:b/>
                <w:szCs w:val="21"/>
                <w:lang w:eastAsia="zh-CN"/>
              </w:rPr>
            </w:pPr>
            <w:r>
              <w:rPr>
                <w:rFonts w:hint="eastAsia" w:eastAsia="仿宋_GB2312"/>
                <w:b/>
                <w:szCs w:val="21"/>
              </w:rPr>
              <w:t>建筑</w:t>
            </w:r>
            <w:r>
              <w:rPr>
                <w:rFonts w:hint="eastAsia" w:eastAsia="仿宋_GB2312"/>
                <w:b/>
                <w:szCs w:val="21"/>
                <w:lang w:val="en-US" w:eastAsia="zh-CN"/>
              </w:rPr>
              <w:t>系数</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672"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650"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087"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90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eastAsia="仿宋_GB2312"/>
                <w:b/>
                <w:szCs w:val="21"/>
              </w:rPr>
            </w:pPr>
            <w:r>
              <w:rPr>
                <w:rFonts w:hint="eastAsia" w:ascii="宋体" w:hAnsi="宋体" w:cs="宋体"/>
                <w:b/>
                <w:szCs w:val="21"/>
              </w:rPr>
              <w:t>（％）</w:t>
            </w:r>
          </w:p>
        </w:tc>
        <w:tc>
          <w:tcPr>
            <w:tcW w:w="979" w:type="dxa"/>
            <w:vAlign w:val="center"/>
          </w:tcPr>
          <w:p>
            <w:pPr>
              <w:autoSpaceDE w:val="0"/>
              <w:autoSpaceDN w:val="0"/>
              <w:adjustRightInd w:val="0"/>
              <w:spacing w:line="240" w:lineRule="exact"/>
              <w:jc w:val="center"/>
              <w:rPr>
                <w:rFonts w:hint="eastAsia" w:ascii="仿宋_GB2312" w:eastAsia="仿宋_GB2312"/>
                <w:b/>
                <w:bCs/>
                <w:szCs w:val="21"/>
                <w:lang w:eastAsia="zh-CN"/>
              </w:rPr>
            </w:pPr>
            <w:r>
              <w:rPr>
                <w:rFonts w:hint="eastAsia" w:ascii="仿宋_GB2312" w:eastAsia="仿宋_GB2312"/>
                <w:b/>
                <w:bCs/>
                <w:szCs w:val="21"/>
                <w:lang w:eastAsia="zh-CN"/>
              </w:rPr>
              <w:t>产业</w:t>
            </w:r>
          </w:p>
          <w:p>
            <w:pPr>
              <w:autoSpaceDE w:val="0"/>
              <w:autoSpaceDN w:val="0"/>
              <w:adjustRightInd w:val="0"/>
              <w:spacing w:line="240" w:lineRule="exact"/>
              <w:jc w:val="center"/>
              <w:rPr>
                <w:rFonts w:hint="eastAsia" w:ascii="仿宋_GB2312" w:eastAsia="仿宋_GB2312"/>
                <w:b/>
                <w:bCs/>
                <w:lang w:eastAsia="zh-CN"/>
              </w:rPr>
            </w:pPr>
            <w:r>
              <w:rPr>
                <w:rFonts w:hint="eastAsia" w:ascii="仿宋_GB2312" w:eastAsia="仿宋_GB2312"/>
                <w:b/>
                <w:bCs/>
                <w:szCs w:val="21"/>
                <w:lang w:eastAsia="zh-CN"/>
              </w:rPr>
              <w:t>类型</w:t>
            </w: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05" w:type="dxa"/>
            <w:tcMar>
              <w:left w:w="0" w:type="dxa"/>
              <w:right w:w="0" w:type="dxa"/>
            </w:tcMar>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GP2021-42</w:t>
            </w:r>
            <w:bookmarkStart w:id="0" w:name="_GoBack"/>
            <w:bookmarkEnd w:id="0"/>
          </w:p>
        </w:tc>
        <w:tc>
          <w:tcPr>
            <w:tcW w:w="69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惠州市惠城区水口青塘湖片区JD-111-10-01地块</w:t>
            </w:r>
          </w:p>
        </w:tc>
        <w:tc>
          <w:tcPr>
            <w:tcW w:w="615"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JD-111-10-01</w:t>
            </w:r>
          </w:p>
        </w:tc>
        <w:tc>
          <w:tcPr>
            <w:tcW w:w="570" w:type="dxa"/>
            <w:tcMar>
              <w:left w:w="0" w:type="dxa"/>
              <w:right w:w="0" w:type="dxa"/>
            </w:tcMar>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一类工业用地</w:t>
            </w:r>
          </w:p>
        </w:tc>
        <w:tc>
          <w:tcPr>
            <w:tcW w:w="774"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2210.29</w:t>
            </w:r>
          </w:p>
        </w:tc>
        <w:tc>
          <w:tcPr>
            <w:tcW w:w="948"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3481</w:t>
            </w:r>
          </w:p>
        </w:tc>
        <w:tc>
          <w:tcPr>
            <w:tcW w:w="72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≥30</w:t>
            </w:r>
          </w:p>
        </w:tc>
        <w:tc>
          <w:tcPr>
            <w:tcW w:w="672"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1.6-2.5</w:t>
            </w:r>
          </w:p>
        </w:tc>
        <w:tc>
          <w:tcPr>
            <w:tcW w:w="165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5570-8702</w:t>
            </w:r>
          </w:p>
        </w:tc>
        <w:tc>
          <w:tcPr>
            <w:tcW w:w="1087"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行政办公及生活服务设施每100平方米计容积率建筑面积≥1个，厂房每100平方米计容积率建筑面积</w:t>
            </w:r>
            <w:r>
              <w:rPr>
                <w:rFonts w:hint="eastAsia" w:ascii="仿宋_GB2312" w:hAnsi="Times New Roman" w:eastAsia="仿宋_GB2312" w:cs="Times New Roman"/>
                <w:szCs w:val="21"/>
                <w:highlight w:val="none"/>
                <w:lang w:val="en-US" w:eastAsia="zh-CN"/>
              </w:rPr>
              <w:t>≥0.3</w:t>
            </w:r>
            <w:r>
              <w:rPr>
                <w:rFonts w:hint="eastAsia" w:ascii="仿宋_GB2312" w:hAnsi="Times New Roman" w:eastAsia="仿宋_GB2312" w:cs="Times New Roman"/>
                <w:szCs w:val="21"/>
                <w:lang w:val="en-US" w:eastAsia="zh-CN"/>
              </w:rPr>
              <w:t>个，停车场须按不低于总停车位的10%的比例配置充电设施。</w:t>
            </w:r>
          </w:p>
        </w:tc>
        <w:tc>
          <w:tcPr>
            <w:tcW w:w="90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15-20</w:t>
            </w:r>
          </w:p>
        </w:tc>
        <w:tc>
          <w:tcPr>
            <w:tcW w:w="979"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化妆品制造用地</w:t>
            </w:r>
          </w:p>
        </w:tc>
        <w:tc>
          <w:tcPr>
            <w:tcW w:w="67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50年</w:t>
            </w:r>
          </w:p>
          <w:p>
            <w:pPr>
              <w:jc w:val="center"/>
              <w:rPr>
                <w:rFonts w:hint="eastAsia" w:ascii="仿宋_GB2312" w:hAnsi="Times New Roman" w:eastAsia="仿宋_GB2312" w:cs="Times New Roman"/>
                <w:szCs w:val="21"/>
                <w:lang w:val="en-US" w:eastAsia="zh-CN"/>
              </w:rPr>
            </w:pP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539EC"/>
    <w:rsid w:val="017F36AB"/>
    <w:rsid w:val="02624B0F"/>
    <w:rsid w:val="03043D1C"/>
    <w:rsid w:val="045C3FD8"/>
    <w:rsid w:val="07386886"/>
    <w:rsid w:val="07895069"/>
    <w:rsid w:val="082B1937"/>
    <w:rsid w:val="09F32886"/>
    <w:rsid w:val="0C762EAF"/>
    <w:rsid w:val="0D167AC3"/>
    <w:rsid w:val="0D430223"/>
    <w:rsid w:val="0DF23899"/>
    <w:rsid w:val="0E7A65F6"/>
    <w:rsid w:val="0FD3040B"/>
    <w:rsid w:val="101D3BC2"/>
    <w:rsid w:val="10BD4DFA"/>
    <w:rsid w:val="11BA5FAE"/>
    <w:rsid w:val="129A05F9"/>
    <w:rsid w:val="137618AF"/>
    <w:rsid w:val="13D50F1B"/>
    <w:rsid w:val="161D2710"/>
    <w:rsid w:val="167673A1"/>
    <w:rsid w:val="16AA6FD1"/>
    <w:rsid w:val="16D56AAC"/>
    <w:rsid w:val="17AA0480"/>
    <w:rsid w:val="17E26192"/>
    <w:rsid w:val="18813A41"/>
    <w:rsid w:val="188D227F"/>
    <w:rsid w:val="192F711A"/>
    <w:rsid w:val="1A0B2C56"/>
    <w:rsid w:val="1AA5305E"/>
    <w:rsid w:val="1ADB0E54"/>
    <w:rsid w:val="1B58380F"/>
    <w:rsid w:val="1C5904D7"/>
    <w:rsid w:val="1DE30B94"/>
    <w:rsid w:val="1E862B6D"/>
    <w:rsid w:val="1F7C2358"/>
    <w:rsid w:val="1FB07F91"/>
    <w:rsid w:val="1FFD6DA9"/>
    <w:rsid w:val="20C82B61"/>
    <w:rsid w:val="20ED2229"/>
    <w:rsid w:val="22890C8D"/>
    <w:rsid w:val="23A027B1"/>
    <w:rsid w:val="27A65DB8"/>
    <w:rsid w:val="28774868"/>
    <w:rsid w:val="2A6B42FA"/>
    <w:rsid w:val="2A870225"/>
    <w:rsid w:val="2B5D4967"/>
    <w:rsid w:val="2B6B3734"/>
    <w:rsid w:val="2C1175A0"/>
    <w:rsid w:val="2D881864"/>
    <w:rsid w:val="304C7078"/>
    <w:rsid w:val="31CE6D72"/>
    <w:rsid w:val="326F18FF"/>
    <w:rsid w:val="33861F14"/>
    <w:rsid w:val="34412DD7"/>
    <w:rsid w:val="35335FA2"/>
    <w:rsid w:val="36061489"/>
    <w:rsid w:val="366601E1"/>
    <w:rsid w:val="37607760"/>
    <w:rsid w:val="380440B7"/>
    <w:rsid w:val="381E07C6"/>
    <w:rsid w:val="38BD14D1"/>
    <w:rsid w:val="3B222C10"/>
    <w:rsid w:val="3C13026D"/>
    <w:rsid w:val="3DDC60B5"/>
    <w:rsid w:val="3DF040D8"/>
    <w:rsid w:val="3E0D02CF"/>
    <w:rsid w:val="40231E47"/>
    <w:rsid w:val="40363F40"/>
    <w:rsid w:val="409256E4"/>
    <w:rsid w:val="40B33D72"/>
    <w:rsid w:val="411B39E1"/>
    <w:rsid w:val="41894F39"/>
    <w:rsid w:val="42CE6157"/>
    <w:rsid w:val="42FD72BA"/>
    <w:rsid w:val="43706132"/>
    <w:rsid w:val="447820DC"/>
    <w:rsid w:val="44966F93"/>
    <w:rsid w:val="45A268C8"/>
    <w:rsid w:val="45C047BF"/>
    <w:rsid w:val="47A409C1"/>
    <w:rsid w:val="4A1228DB"/>
    <w:rsid w:val="4A1B1ECC"/>
    <w:rsid w:val="4AE74DD0"/>
    <w:rsid w:val="4C2E14D5"/>
    <w:rsid w:val="4C6E12C7"/>
    <w:rsid w:val="4CC552AB"/>
    <w:rsid w:val="4EC91786"/>
    <w:rsid w:val="4F861E18"/>
    <w:rsid w:val="538C505C"/>
    <w:rsid w:val="540106D5"/>
    <w:rsid w:val="546946EF"/>
    <w:rsid w:val="54BE7FF6"/>
    <w:rsid w:val="565101CA"/>
    <w:rsid w:val="567F481B"/>
    <w:rsid w:val="578E459E"/>
    <w:rsid w:val="57A3234F"/>
    <w:rsid w:val="57C844D5"/>
    <w:rsid w:val="59400AE8"/>
    <w:rsid w:val="596A13D8"/>
    <w:rsid w:val="5A893EB0"/>
    <w:rsid w:val="5AC677F9"/>
    <w:rsid w:val="5AF873B7"/>
    <w:rsid w:val="5BD95AEB"/>
    <w:rsid w:val="5C2F5844"/>
    <w:rsid w:val="5D241B5A"/>
    <w:rsid w:val="5D471E01"/>
    <w:rsid w:val="5E3B0440"/>
    <w:rsid w:val="606821F3"/>
    <w:rsid w:val="64D925C4"/>
    <w:rsid w:val="68527CA2"/>
    <w:rsid w:val="692A6240"/>
    <w:rsid w:val="6E5E4362"/>
    <w:rsid w:val="6EB83079"/>
    <w:rsid w:val="6F4B3B48"/>
    <w:rsid w:val="6FF0551C"/>
    <w:rsid w:val="700A52E4"/>
    <w:rsid w:val="71535A04"/>
    <w:rsid w:val="72127BD3"/>
    <w:rsid w:val="727D44B4"/>
    <w:rsid w:val="736D1677"/>
    <w:rsid w:val="73BE7EBD"/>
    <w:rsid w:val="7451643C"/>
    <w:rsid w:val="748840AA"/>
    <w:rsid w:val="761352C3"/>
    <w:rsid w:val="77DD303C"/>
    <w:rsid w:val="782A0826"/>
    <w:rsid w:val="79E82C45"/>
    <w:rsid w:val="7B832F79"/>
    <w:rsid w:val="7D060077"/>
    <w:rsid w:val="7E425D92"/>
    <w:rsid w:val="7F25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98</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叶舒</cp:lastModifiedBy>
  <cp:lastPrinted>2021-10-21T07:42:00Z</cp:lastPrinted>
  <dcterms:modified xsi:type="dcterms:W3CDTF">2021-10-25T01:51:48Z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